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SBJ25420000003342094ZX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武汉市三翁便利店有限责任公司销售的泰国龙眼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9月</w:t>
      </w:r>
      <w:bookmarkEnd w:id="0"/>
      <w:r>
        <w:rPr>
          <w:rFonts w:hint="eastAsia" w:eastAsia="仿宋_GB2312"/>
          <w:sz w:val="32"/>
          <w:szCs w:val="32"/>
          <w:lang w:val="en-US" w:eastAsia="zh-CN"/>
        </w:rPr>
        <w:t>15日抽自武汉市三翁便利店有限责任公司销售的泰国龙眼，二氧化硫残留量项目不符合 GB 2760-2024《食品安全国家标准 食品添加剂使用标 准》要求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w:t>
      </w:r>
      <w:r>
        <w:rPr>
          <w:rFonts w:hint="default" w:ascii="Times New Roman" w:hAnsi="Times New Roman" w:eastAsia="仿宋_GB2312" w:cs="Times New Roman"/>
          <w:b w:val="0"/>
          <w:bCs w:val="0"/>
          <w:sz w:val="32"/>
          <w:szCs w:val="32"/>
          <w:lang w:val="en-US" w:eastAsia="zh-CN"/>
        </w:rPr>
        <w:t>销售超限量使用食品添加剂的食用农产品龙眼的行为，违反了《食用农产品市场销售质量安全监督管理办法》第十五条第一款“禁止销售者采购、销售食品安全法第三十四条规定情形的食用农产品。”、《中华人民共和国食品安全法》第三十四条第四项“禁止生产经营下列食品、食品添加剂、食品相关产品：……（四）超范围、超限量使用食品添加剂的食品；”的规定。</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eastAsia="仿宋_GB2312"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当事人履行了进货查验义务，有充分证据证明其不知道所采购的食品不符合食品安全标准，并能如实说明其进货来源，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规定的情形，可以免予处罚，无可没收的不符合食品安全标准的龙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当事人销售超限量使用食品添加剂的食用农产品龙眼的行为，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及《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给予行政处罚。因当事人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规定的免予处罚情形，本局决定责令当事人改正违法行为，对当事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Times New Roman" w:hAnsi="Times New Roman" w:eastAsia="仿宋_GB2312" w:cs="Times New Roman"/>
          <w:color w:val="auto"/>
          <w:sz w:val="32"/>
          <w:szCs w:val="32"/>
          <w:u w:val="none"/>
          <w:lang w:val="en-US" w:eastAsia="zh-CN"/>
        </w:rPr>
        <w:t>进货订单、送货单、入境货物检验检疫证明</w:t>
      </w:r>
      <w:r>
        <w:rPr>
          <w:rFonts w:hint="eastAsia" w:eastAsia="仿宋_GB2312" w:cs="Times New Roman"/>
          <w:color w:val="auto"/>
          <w:sz w:val="32"/>
          <w:szCs w:val="32"/>
          <w:u w:val="none"/>
          <w:lang w:val="en-US" w:eastAsia="zh-CN"/>
        </w:rPr>
        <w:t>和</w:t>
      </w:r>
      <w:r>
        <w:rPr>
          <w:rFonts w:hint="eastAsia" w:ascii="Times New Roman" w:hAnsi="Times New Roman" w:eastAsia="仿宋_GB2312" w:cs="Times New Roman"/>
          <w:color w:val="auto"/>
          <w:sz w:val="32"/>
          <w:szCs w:val="32"/>
          <w:u w:val="none"/>
          <w:lang w:val="en-US" w:eastAsia="zh-CN"/>
        </w:rPr>
        <w:t>销售订单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一是强化进货查验，修订并完善</w:t>
      </w:r>
      <w:r>
        <w:rPr>
          <w:rFonts w:hint="eastAsia" w:eastAsia="仿宋_GB2312"/>
          <w:sz w:val="32"/>
          <w:szCs w:val="32"/>
          <w:lang w:val="en-US" w:eastAsia="zh-CN"/>
        </w:rPr>
        <w:t>《进货查验记录制度》，要求在采购食用农产品时严格履行进货查验义务；二是加强员工培训，组织全体员工学习《中华人民共和国食品安全法》及相关标准，强化食品安全主体责任意识，确保各项制度落到实处。</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94AEE"/>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125710"/>
    <w:rsid w:val="252D6809"/>
    <w:rsid w:val="25485E80"/>
    <w:rsid w:val="259D1595"/>
    <w:rsid w:val="25B146CC"/>
    <w:rsid w:val="25DF6B72"/>
    <w:rsid w:val="263B78CF"/>
    <w:rsid w:val="2644262F"/>
    <w:rsid w:val="272B0385"/>
    <w:rsid w:val="272F5A50"/>
    <w:rsid w:val="27685E79"/>
    <w:rsid w:val="27B97E8D"/>
    <w:rsid w:val="27CA0CAB"/>
    <w:rsid w:val="28420AEE"/>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9852DF"/>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A0D02CB"/>
    <w:rsid w:val="7A961022"/>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2026-01-07T02:13:05Z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